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7D" w:rsidRPr="00DE60D2" w:rsidRDefault="001E033D" w:rsidP="0057787D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87D">
        <w:rPr>
          <w:lang w:val="sr-Cyrl-CS"/>
        </w:rPr>
        <w:tab/>
      </w:r>
      <w:r w:rsidR="0057787D">
        <w:rPr>
          <w:lang w:val="sr-Latn-RS"/>
        </w:rPr>
        <w:t xml:space="preserve">           </w:t>
      </w:r>
      <w:r w:rsidR="0057787D">
        <w:rPr>
          <w:lang w:val="sr-Cyrl-CS"/>
        </w:rPr>
        <w:t>П Р Е Д Л О Г</w:t>
      </w:r>
    </w:p>
    <w:p w:rsidR="0057787D" w:rsidRPr="001E033D" w:rsidRDefault="0057787D" w:rsidP="00577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</w:t>
      </w:r>
      <w:r w:rsidRPr="0022500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став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судијама 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РС“, </w:t>
      </w:r>
      <w:hyperlink r:id="rId7" w:tooltip="Zakon o sudijama (22/12/2008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Odluka Ustavnog suda Republike Srbije IUz broj 42/2009 (odnosi se na Zakon o sudijama) (25/07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58/09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dopuni Zakona o sudijama (16/12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Zakon o izmenama i dopunama Zakona o sudijama (29/12/2010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Odluka Ustavnog suda RS IUz-1634/2010 (odnosi se na Zakon o izmenama i dopunama Zakona o sudijama) (03/0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Zakon o dopuni Zakona o sudijama (24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Odluka Ustavnog suda IUz-733/2011 (odnosi se na Zakon o sudijama) (29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Zakon o izmenama i dopunama Zakona o sudijama (20/11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Zakon o izmeni Zakona o platama državnih službenika i nameštenika (06/12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Odluka Ustavnog suda IUz-427/2013 (odnosi se na Zakon o sudijama) (15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Zakon o izmeni Zakona o sudijama (29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Zakon o dopuni Zakona o sudijama (07/05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40/15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Odluka Ustavnog suda IUz-156/2014 (odnosi se na Zakon o dopuni Zakona o sudijama) (17/07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Zakon o dopuni Zakona o sudijama (21/12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Odluka Ustavnog suda IUz-92/2014  (odnosi se na Zakon o izmenama i dopunama Zakona o sudijama) (15/07/2016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Zakon o izmenama i dopunama Zakona o sudijama (15/05/2017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47/17</w:t>
        </w:r>
      </w:hyperlink>
      <w:r w:rsidRPr="00C349A1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C157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одржаној _____________ 20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2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1. године, донела је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C46FC7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57787D" w:rsidRDefault="0057787D" w:rsidP="005778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 престанку функције председника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Прекршајног суда у </w:t>
      </w:r>
      <w:r w:rsidR="00967E38">
        <w:rPr>
          <w:rFonts w:ascii="Times New Roman" w:hAnsi="Times New Roman" w:cs="Times New Roman"/>
          <w:sz w:val="24"/>
          <w:szCs w:val="24"/>
          <w:lang w:val="sr-Cyrl-RS"/>
        </w:rPr>
        <w:t>Лазаревцу</w:t>
      </w:r>
    </w:p>
    <w:p w:rsidR="00967E38" w:rsidRDefault="00967E38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>Милици Живојиновић</w:t>
      </w:r>
      <w:r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Прекршајног суда у </w:t>
      </w:r>
      <w:r w:rsidR="00967E38">
        <w:rPr>
          <w:rFonts w:ascii="Times New Roman" w:hAnsi="Times New Roman" w:cs="Times New Roman"/>
          <w:sz w:val="24"/>
          <w:szCs w:val="24"/>
          <w:lang w:val="sr-Cyrl-RS"/>
        </w:rPr>
        <w:t>Лазаревцу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суда, на лични захтев, због навршења радног века, 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априла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2021. године.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1E033D" w:rsidRP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Pr="000D562E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2021. године</w:t>
      </w: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Ивица Дачић</w:t>
      </w:r>
    </w:p>
    <w:p w:rsidR="001E0A1C" w:rsidRDefault="001E0A1C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P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1E0A1C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>О б р а з л о ж е њ е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ab/>
        <w:t xml:space="preserve">Чланом 52. ст. 1. и 2. Закона о уређењу судова </w:t>
      </w:r>
      <w:r w:rsidRPr="001E0A1C">
        <w:rPr>
          <w:rStyle w:val="propisclassinner"/>
          <w:rFonts w:ascii="Times New Roman" w:hAnsi="Times New Roman" w:cs="Times New Roman"/>
        </w:rPr>
        <w:t>(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Сл</w:t>
      </w:r>
      <w:proofErr w:type="spellEnd"/>
      <w:r w:rsidRPr="001E0A1C">
        <w:rPr>
          <w:rStyle w:val="propisclassinner"/>
          <w:rFonts w:ascii="Times New Roman" w:hAnsi="Times New Roman" w:cs="Times New Roman"/>
          <w:lang w:val="sr-Cyrl-RS"/>
        </w:rPr>
        <w:t>ужбени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гласник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РС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бр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. </w:t>
      </w:r>
      <w:hyperlink r:id="rId23" w:tooltip="Zakon o uređenju sudova (22/12/2008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116/08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4" w:tooltip="Zakon o izmenama i dopunama Zakona o uređenju sudova (16/12/2009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104/09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5" w:tooltip="Zakon o izmenama Zakona o uređenju sudova (29/12/2010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101/10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6" w:tooltip="Zakon o izvršenju i obezbeđenju (09/05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31/11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Pr="001E0A1C">
        <w:rPr>
          <w:rStyle w:val="trs"/>
          <w:rFonts w:ascii="Times New Roman" w:hAnsi="Times New Roman" w:cs="Times New Roman"/>
        </w:rPr>
        <w:t>закон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27" w:tooltip="Zakon o izmenama i dopunama Zakona o budžetu Republike Srbije za 2011. godinu (19/10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78/11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8" w:tooltip="Zakon o dopunama Zakona o uređenju sudova (30/12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9" w:tooltip="Zakon o izmenama i dopunama Zakona o uređenju sudova (20/11/2013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101/13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0" w:tooltip="Zakon o zaštiti prava na suđenje u razumnom roku (07/05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40/15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Pr="001E0A1C">
        <w:rPr>
          <w:rStyle w:val="trs"/>
          <w:rFonts w:ascii="Times New Roman" w:hAnsi="Times New Roman" w:cs="Times New Roman"/>
        </w:rPr>
        <w:t>закон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31" w:tooltip="Zakon o izmenama i dopunama Zakona o uređenju sudova (21/12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106/15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2" w:tooltip="Zakon o izmenama Zakona o uređenju sudova (19/0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13/16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3" w:tooltip="Zakon o izmeni Zakona o uređenju sudova (29/1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108/16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4" w:tooltip="Zakon o izmeni Zakona o uređenju sudova (17/12/2017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113/17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5" w:tooltip="Odluka Ustavnog suda broj IUz-258/2016 (odnosi se na Zakon o uređenju sudova) (24/08/2018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65/18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>)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Председник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обезбеђује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законитост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ред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тачност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у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налаже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отклањање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неправилности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спречава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одуговлачење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у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раду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одређује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браниоце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службеној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дужности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азбучном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реду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листе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адвоката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које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доставља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адвокатска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комора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стара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о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одржавању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независности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судија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угледу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врши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друге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послове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одређене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законом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Судским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пословником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>.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Чланом 74. став 1. Закона о судијама </w:t>
      </w:r>
      <w:r w:rsidRPr="001E0A1C">
        <w:rPr>
          <w:rStyle w:val="propisclassinner"/>
          <w:rFonts w:ascii="Times New Roman" w:hAnsi="Times New Roman" w:cs="Times New Roman"/>
        </w:rPr>
        <w:t>(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Сл</w:t>
      </w:r>
      <w:proofErr w:type="spellEnd"/>
      <w:r w:rsidRPr="001E0A1C">
        <w:rPr>
          <w:rStyle w:val="propisclassinner"/>
          <w:rFonts w:ascii="Times New Roman" w:hAnsi="Times New Roman" w:cs="Times New Roman"/>
          <w:lang w:val="sr-Cyrl-RS"/>
        </w:rPr>
        <w:t>ужбени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гласник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РС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бр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.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116/08, 58/09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104/09,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101/10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8/12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121/12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124/12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101/13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108/13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 w:rsidRPr="001E0A1C">
        <w:rPr>
          <w:rStyle w:val="trs"/>
          <w:rFonts w:ascii="Times New Roman" w:hAnsi="Times New Roman" w:cs="Times New Roman"/>
        </w:rPr>
        <w:t>закон</w:t>
      </w:r>
      <w:proofErr w:type="spellEnd"/>
      <w:proofErr w:type="gram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111/14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117/14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40/15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63/15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 w:rsidRPr="001E0A1C">
        <w:rPr>
          <w:rStyle w:val="trs"/>
          <w:rFonts w:ascii="Times New Roman" w:hAnsi="Times New Roman" w:cs="Times New Roman"/>
        </w:rPr>
        <w:t>пропис</w:t>
      </w:r>
      <w:proofErr w:type="spellEnd"/>
      <w:proofErr w:type="gramEnd"/>
      <w:r w:rsidRPr="001E0A1C">
        <w:rPr>
          <w:rStyle w:val="trs"/>
          <w:rFonts w:ascii="Times New Roman" w:hAnsi="Times New Roman" w:cs="Times New Roman"/>
          <w:lang w:val="sr-Cyrl-RS"/>
        </w:rPr>
        <w:t xml:space="preserve"> и 47/17</w:t>
      </w:r>
      <w:r w:rsidRPr="001E0A1C">
        <w:rPr>
          <w:rStyle w:val="propisclassinner"/>
          <w:rFonts w:ascii="Times New Roman" w:hAnsi="Times New Roman" w:cs="Times New Roman"/>
        </w:rPr>
        <w:t>)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, утврђено је да председнику суда престаје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функциј</w:t>
      </w:r>
      <w:proofErr w:type="spellEnd"/>
      <w:r w:rsidRPr="001E0A1C">
        <w:rPr>
          <w:rStyle w:val="propisclassinner"/>
          <w:rFonts w:ascii="Times New Roman" w:hAnsi="Times New Roman" w:cs="Times New Roman"/>
          <w:lang w:val="sr-Cyrl-RS"/>
        </w:rPr>
        <w:t>а,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између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осталог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1E0A1C" w:rsidRPr="001E0A1C">
        <w:rPr>
          <w:rFonts w:ascii="Times New Roman" w:hAnsi="Times New Roman" w:cs="Times New Roman"/>
        </w:rPr>
        <w:t>на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лични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захтев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>.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На основу става 3. истог члана одлуку о престанку функције председника суда доноси Народна скупштина.</w:t>
      </w:r>
    </w:p>
    <w:p w:rsidR="0057787D" w:rsidRPr="001E0A1C" w:rsidRDefault="0057787D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1E033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1E0A1C">
        <w:rPr>
          <w:rFonts w:ascii="Times New Roman" w:hAnsi="Times New Roman" w:cs="Times New Roman"/>
          <w:lang w:val="sr-Cyrl-CS"/>
        </w:rPr>
        <w:t xml:space="preserve">Председник Прекршајног суда у </w:t>
      </w:r>
      <w:r w:rsidR="00967E38">
        <w:rPr>
          <w:rFonts w:ascii="Times New Roman" w:hAnsi="Times New Roman" w:cs="Times New Roman"/>
          <w:lang w:val="sr-Cyrl-CS"/>
        </w:rPr>
        <w:t>Лазаревцу</w:t>
      </w:r>
      <w:r w:rsidRPr="001E0A1C">
        <w:rPr>
          <w:rFonts w:ascii="Times New Roman" w:hAnsi="Times New Roman" w:cs="Times New Roman"/>
          <w:lang w:val="sr-Cyrl-CS"/>
        </w:rPr>
        <w:t xml:space="preserve"> </w:t>
      </w:r>
      <w:r w:rsidR="00967E38">
        <w:rPr>
          <w:rFonts w:ascii="Times New Roman" w:hAnsi="Times New Roman" w:cs="Times New Roman"/>
          <w:lang w:val="sr-Cyrl-CS"/>
        </w:rPr>
        <w:t>Милица Живојиновић</w:t>
      </w:r>
      <w:r w:rsidRPr="001E0A1C">
        <w:rPr>
          <w:rFonts w:ascii="Times New Roman" w:hAnsi="Times New Roman" w:cs="Times New Roman"/>
          <w:lang w:val="sr-Cyrl-CS"/>
        </w:rPr>
        <w:t xml:space="preserve"> упутила је допис (0</w:t>
      </w:r>
      <w:r w:rsidR="00967E38">
        <w:rPr>
          <w:rFonts w:ascii="Times New Roman" w:hAnsi="Times New Roman" w:cs="Times New Roman"/>
          <w:lang w:val="sr-Cyrl-CS"/>
        </w:rPr>
        <w:t>7</w:t>
      </w:r>
      <w:r w:rsidRPr="001E0A1C">
        <w:rPr>
          <w:rFonts w:ascii="Times New Roman" w:hAnsi="Times New Roman" w:cs="Times New Roman"/>
          <w:lang w:val="sr-Cyrl-CS"/>
        </w:rPr>
        <w:t xml:space="preserve"> Број: 11</w:t>
      </w:r>
      <w:r w:rsidR="00967E38">
        <w:rPr>
          <w:rFonts w:ascii="Times New Roman" w:hAnsi="Times New Roman" w:cs="Times New Roman"/>
          <w:lang w:val="sr-Cyrl-CS"/>
        </w:rPr>
        <w:t>8</w:t>
      </w:r>
      <w:r w:rsidRPr="001E0A1C">
        <w:rPr>
          <w:rFonts w:ascii="Times New Roman" w:hAnsi="Times New Roman" w:cs="Times New Roman"/>
          <w:lang w:val="sr-Cyrl-CS"/>
        </w:rPr>
        <w:t>-</w:t>
      </w:r>
      <w:r w:rsidR="00967E38">
        <w:rPr>
          <w:rFonts w:ascii="Times New Roman" w:hAnsi="Times New Roman" w:cs="Times New Roman"/>
          <w:lang w:val="sr-Cyrl-CS"/>
        </w:rPr>
        <w:t>676/</w:t>
      </w:r>
      <w:r w:rsidRPr="001E0A1C">
        <w:rPr>
          <w:rFonts w:ascii="Times New Roman" w:hAnsi="Times New Roman" w:cs="Times New Roman"/>
          <w:lang w:val="sr-Cyrl-CS"/>
        </w:rPr>
        <w:t>2</w:t>
      </w:r>
      <w:r w:rsidR="00967E38">
        <w:rPr>
          <w:rFonts w:ascii="Times New Roman" w:hAnsi="Times New Roman" w:cs="Times New Roman"/>
          <w:lang w:val="sr-Cyrl-CS"/>
        </w:rPr>
        <w:t>1</w:t>
      </w:r>
      <w:r w:rsidRPr="001E0A1C">
        <w:rPr>
          <w:rFonts w:ascii="Times New Roman" w:hAnsi="Times New Roman" w:cs="Times New Roman"/>
          <w:lang w:val="sr-Cyrl-CS"/>
        </w:rPr>
        <w:t xml:space="preserve"> од </w:t>
      </w:r>
      <w:r w:rsidR="00967E38">
        <w:rPr>
          <w:rFonts w:ascii="Times New Roman" w:hAnsi="Times New Roman" w:cs="Times New Roman"/>
          <w:lang w:val="sr-Cyrl-CS"/>
        </w:rPr>
        <w:t>15</w:t>
      </w:r>
      <w:r w:rsidRPr="001E0A1C">
        <w:rPr>
          <w:rFonts w:ascii="Times New Roman" w:hAnsi="Times New Roman" w:cs="Times New Roman"/>
          <w:lang w:val="sr-Cyrl-CS"/>
        </w:rPr>
        <w:t xml:space="preserve">. </w:t>
      </w:r>
      <w:r w:rsidR="00967E38">
        <w:rPr>
          <w:rFonts w:ascii="Times New Roman" w:hAnsi="Times New Roman" w:cs="Times New Roman"/>
          <w:lang w:val="sr-Cyrl-CS"/>
        </w:rPr>
        <w:t>априла</w:t>
      </w:r>
      <w:r w:rsidRPr="001E0A1C">
        <w:rPr>
          <w:rFonts w:ascii="Times New Roman" w:hAnsi="Times New Roman" w:cs="Times New Roman"/>
          <w:lang w:val="sr-Cyrl-CS"/>
        </w:rPr>
        <w:t xml:space="preserve"> 202</w:t>
      </w:r>
      <w:r w:rsidR="00967E38">
        <w:rPr>
          <w:rFonts w:ascii="Times New Roman" w:hAnsi="Times New Roman" w:cs="Times New Roman"/>
          <w:lang w:val="sr-Cyrl-CS"/>
        </w:rPr>
        <w:t>1</w:t>
      </w:r>
      <w:r w:rsidRPr="001E0A1C">
        <w:rPr>
          <w:rFonts w:ascii="Times New Roman" w:hAnsi="Times New Roman" w:cs="Times New Roman"/>
          <w:lang w:val="sr-Cyrl-CS"/>
        </w:rPr>
        <w:t>. године</w:t>
      </w:r>
      <w:r w:rsidR="006F2E0C" w:rsidRPr="001E0A1C">
        <w:rPr>
          <w:rFonts w:ascii="Times New Roman" w:hAnsi="Times New Roman" w:cs="Times New Roman"/>
          <w:lang w:val="sr-Cyrl-CS"/>
        </w:rPr>
        <w:t>)</w:t>
      </w:r>
      <w:r w:rsidRPr="001E0A1C">
        <w:rPr>
          <w:rFonts w:ascii="Times New Roman" w:hAnsi="Times New Roman" w:cs="Times New Roman"/>
          <w:lang w:val="sr-Cyrl-CS"/>
        </w:rPr>
        <w:t xml:space="preserve"> којим тражи да Народна скупштина донесе одлуку о престанку функције председника суда на лични захтев</w:t>
      </w:r>
      <w:r w:rsidR="006F2E0C" w:rsidRPr="001E0A1C">
        <w:rPr>
          <w:rFonts w:ascii="Times New Roman" w:hAnsi="Times New Roman" w:cs="Times New Roman"/>
          <w:lang w:val="sr-Cyrl-CS"/>
        </w:rPr>
        <w:t>. Захтев је образложола тиме</w:t>
      </w:r>
      <w:r w:rsidRPr="001E0A1C">
        <w:rPr>
          <w:rFonts w:ascii="Times New Roman" w:hAnsi="Times New Roman" w:cs="Times New Roman"/>
          <w:lang w:val="sr-Cyrl-CS"/>
        </w:rPr>
        <w:t xml:space="preserve"> да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 w:rsidRPr="001E0A1C">
        <w:rPr>
          <w:rFonts w:ascii="Times New Roman" w:hAnsi="Times New Roman" w:cs="Times New Roman"/>
          <w:lang w:val="sr-Cyrl-CS"/>
        </w:rPr>
        <w:t xml:space="preserve">дана </w:t>
      </w:r>
      <w:r w:rsidR="00967E38">
        <w:rPr>
          <w:rFonts w:ascii="Times New Roman" w:hAnsi="Times New Roman" w:cs="Times New Roman"/>
          <w:lang w:val="sr-Cyrl-CS"/>
        </w:rPr>
        <w:t>30</w:t>
      </w:r>
      <w:r w:rsidRPr="001E0A1C">
        <w:rPr>
          <w:rFonts w:ascii="Times New Roman" w:hAnsi="Times New Roman" w:cs="Times New Roman"/>
          <w:lang w:val="sr-Cyrl-CS"/>
        </w:rPr>
        <w:t xml:space="preserve">. </w:t>
      </w:r>
      <w:r w:rsidR="00967E38">
        <w:rPr>
          <w:rFonts w:ascii="Times New Roman" w:hAnsi="Times New Roman" w:cs="Times New Roman"/>
          <w:lang w:val="sr-Cyrl-CS"/>
        </w:rPr>
        <w:t>априла</w:t>
      </w:r>
      <w:r w:rsidRPr="001E0A1C">
        <w:rPr>
          <w:rFonts w:ascii="Times New Roman" w:hAnsi="Times New Roman" w:cs="Times New Roman"/>
          <w:lang w:val="sr-Cyrl-CS"/>
        </w:rPr>
        <w:t xml:space="preserve"> 2021. године наврш</w:t>
      </w:r>
      <w:r w:rsidR="006F2E0C" w:rsidRPr="001E0A1C">
        <w:rPr>
          <w:rFonts w:ascii="Times New Roman" w:hAnsi="Times New Roman" w:cs="Times New Roman"/>
          <w:lang w:val="sr-Cyrl-CS"/>
        </w:rPr>
        <w:t>ава</w:t>
      </w:r>
      <w:r w:rsidRPr="001E0A1C">
        <w:rPr>
          <w:rFonts w:ascii="Times New Roman" w:hAnsi="Times New Roman" w:cs="Times New Roman"/>
          <w:lang w:val="sr-Cyrl-CS"/>
        </w:rPr>
        <w:t xml:space="preserve"> радни век</w:t>
      </w:r>
      <w:r w:rsidR="006F2E0C" w:rsidRPr="001E0A1C">
        <w:rPr>
          <w:rFonts w:ascii="Times New Roman" w:hAnsi="Times New Roman" w:cs="Times New Roman"/>
          <w:lang w:val="sr-Cyrl-CS"/>
        </w:rPr>
        <w:t xml:space="preserve">, због чега јој престаје судијска функција, те је од Народне скупштине затражила да донесе одлуку о престанак функције председника суда са истим датумом, у складу са </w:t>
      </w:r>
      <w:r w:rsidRPr="001E0A1C">
        <w:rPr>
          <w:rFonts w:ascii="Times New Roman" w:hAnsi="Times New Roman" w:cs="Times New Roman"/>
          <w:lang w:val="sr-Cyrl-CS"/>
        </w:rPr>
        <w:t xml:space="preserve">чланом 74. став 1. Закона о судијама. </w:t>
      </w:r>
    </w:p>
    <w:p w:rsidR="006F2E0C" w:rsidRPr="001E0A1C" w:rsidRDefault="006F2E0C" w:rsidP="00967E38">
      <w:pPr>
        <w:pStyle w:val="NoSpacing"/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p w:rsidR="001E0A1C" w:rsidRPr="001E0A1C" w:rsidRDefault="001E0A1C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6F2E0C" w:rsidRDefault="006F2E0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Fonts w:ascii="Times New Roman" w:hAnsi="Times New Roman" w:cs="Times New Roman"/>
          <w:lang w:val="sr-Cyrl-RS"/>
        </w:rPr>
        <w:t>Имајући у виду наведено, Одбор за правосуђе, државну управу и локалну самоуправу је на</w:t>
      </w:r>
      <w:r w:rsidRPr="001E0A1C">
        <w:rPr>
          <w:rFonts w:ascii="Times New Roman" w:hAnsi="Times New Roman" w:cs="Times New Roman"/>
          <w:lang w:val="sr-Latn-RS"/>
        </w:rPr>
        <w:t xml:space="preserve"> 1</w:t>
      </w:r>
      <w:r w:rsidR="00967E38">
        <w:rPr>
          <w:rFonts w:ascii="Times New Roman" w:hAnsi="Times New Roman" w:cs="Times New Roman"/>
          <w:lang w:val="sr-Cyrl-RS"/>
        </w:rPr>
        <w:t>5</w:t>
      </w:r>
      <w:r w:rsidRPr="001E0A1C">
        <w:rPr>
          <w:rFonts w:ascii="Times New Roman" w:hAnsi="Times New Roman" w:cs="Times New Roman"/>
          <w:lang w:val="sr-Latn-RS"/>
        </w:rPr>
        <w:t>.</w:t>
      </w:r>
      <w:r w:rsidRPr="001E0A1C">
        <w:rPr>
          <w:rFonts w:ascii="Times New Roman" w:hAnsi="Times New Roman" w:cs="Times New Roman"/>
          <w:lang w:val="sr-Cyrl-RS"/>
        </w:rPr>
        <w:t xml:space="preserve"> седници одржаној </w:t>
      </w:r>
      <w:r w:rsidR="00967E38">
        <w:rPr>
          <w:rFonts w:ascii="Times New Roman" w:hAnsi="Times New Roman" w:cs="Times New Roman"/>
          <w:lang w:val="sr-Cyrl-RS"/>
        </w:rPr>
        <w:t>20</w:t>
      </w:r>
      <w:r w:rsidRPr="001E0A1C">
        <w:rPr>
          <w:rFonts w:ascii="Times New Roman" w:hAnsi="Times New Roman" w:cs="Times New Roman"/>
          <w:lang w:val="sr-Cyrl-RS"/>
        </w:rPr>
        <w:t xml:space="preserve">. </w:t>
      </w:r>
      <w:r w:rsidR="00967E38">
        <w:rPr>
          <w:rFonts w:ascii="Times New Roman" w:hAnsi="Times New Roman" w:cs="Times New Roman"/>
          <w:lang w:val="sr-Cyrl-RS"/>
        </w:rPr>
        <w:t>априла</w:t>
      </w:r>
      <w:r w:rsidRPr="001E0A1C">
        <w:rPr>
          <w:rFonts w:ascii="Times New Roman" w:hAnsi="Times New Roman" w:cs="Times New Roman"/>
          <w:lang w:val="sr-Cyrl-RS"/>
        </w:rPr>
        <w:t xml:space="preserve"> 2021. године, утврдио Предлог одлуке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којим</w:t>
      </w:r>
      <w:r w:rsidR="00967E38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>Милици Живојиновић</w:t>
      </w:r>
      <w:r w:rsidR="00967E38"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председнику </w:t>
      </w:r>
      <w:r w:rsidR="00967E38">
        <w:rPr>
          <w:rFonts w:ascii="Times New Roman" w:hAnsi="Times New Roman" w:cs="Times New Roman"/>
          <w:sz w:val="24"/>
          <w:szCs w:val="24"/>
          <w:lang w:val="sr-Cyrl-RS"/>
        </w:rPr>
        <w:t>Прекршајног суда у Лазаревцу</w:t>
      </w:r>
      <w:r w:rsidR="00967E38"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="00967E38"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престаје функција председника суда, на лични захтев, због навршења радног века, 30. априла 2021. године.</w:t>
      </w:r>
    </w:p>
    <w:p w:rsidR="001E0A1C" w:rsidRPr="001E0A1C" w:rsidRDefault="001E0A1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Default="0057787D" w:rsidP="0057787D"/>
    <w:p w:rsidR="000F4FDB" w:rsidRDefault="000F4FDB"/>
    <w:sectPr w:rsidR="000F4FDB">
      <w:headerReference w:type="defaul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AC" w:rsidRDefault="00B678AC">
      <w:r>
        <w:separator/>
      </w:r>
    </w:p>
  </w:endnote>
  <w:endnote w:type="continuationSeparator" w:id="0">
    <w:p w:rsidR="00B678AC" w:rsidRDefault="00B6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AC" w:rsidRDefault="00B678AC">
      <w:r>
        <w:separator/>
      </w:r>
    </w:p>
  </w:footnote>
  <w:footnote w:type="continuationSeparator" w:id="0">
    <w:p w:rsidR="00B678AC" w:rsidRDefault="00B6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44" w:rsidRDefault="00B678AC">
    <w:pPr>
      <w:pStyle w:val="Header"/>
      <w:jc w:val="center"/>
    </w:pPr>
  </w:p>
  <w:p w:rsidR="00726C44" w:rsidRDefault="00B6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4"/>
    <w:rsid w:val="00093DBF"/>
    <w:rsid w:val="000F4FDB"/>
    <w:rsid w:val="001E033D"/>
    <w:rsid w:val="001E0A1C"/>
    <w:rsid w:val="003F7A03"/>
    <w:rsid w:val="0057787D"/>
    <w:rsid w:val="006F2E0C"/>
    <w:rsid w:val="00967E38"/>
    <w:rsid w:val="00B678AC"/>
    <w:rsid w:val="00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7787D"/>
  </w:style>
  <w:style w:type="character" w:styleId="Hyperlink">
    <w:name w:val="Hyperlink"/>
    <w:basedOn w:val="DefaultParagraphFont"/>
    <w:uiPriority w:val="99"/>
    <w:semiHidden/>
    <w:unhideWhenUsed/>
    <w:rsid w:val="00577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7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787D"/>
    <w:pPr>
      <w:spacing w:after="0" w:line="240" w:lineRule="auto"/>
    </w:pPr>
  </w:style>
  <w:style w:type="character" w:customStyle="1" w:styleId="trs">
    <w:name w:val="trs"/>
    <w:basedOn w:val="DefaultParagraphFont"/>
    <w:rsid w:val="0057787D"/>
  </w:style>
  <w:style w:type="paragraph" w:styleId="ListParagraph">
    <w:name w:val="List Paragraph"/>
    <w:basedOn w:val="Normal"/>
    <w:uiPriority w:val="34"/>
    <w:qFormat/>
    <w:rsid w:val="001E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7787D"/>
  </w:style>
  <w:style w:type="character" w:styleId="Hyperlink">
    <w:name w:val="Hyperlink"/>
    <w:basedOn w:val="DefaultParagraphFont"/>
    <w:uiPriority w:val="99"/>
    <w:semiHidden/>
    <w:unhideWhenUsed/>
    <w:rsid w:val="00577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7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787D"/>
    <w:pPr>
      <w:spacing w:after="0" w:line="240" w:lineRule="auto"/>
    </w:pPr>
  </w:style>
  <w:style w:type="character" w:customStyle="1" w:styleId="trs">
    <w:name w:val="trs"/>
    <w:basedOn w:val="DefaultParagraphFont"/>
    <w:rsid w:val="0057787D"/>
  </w:style>
  <w:style w:type="paragraph" w:styleId="ListParagraph">
    <w:name w:val="List Paragraph"/>
    <w:basedOn w:val="Normal"/>
    <w:uiPriority w:val="34"/>
    <w:qFormat/>
    <w:rsid w:val="001E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5</cp:revision>
  <dcterms:created xsi:type="dcterms:W3CDTF">2021-02-19T15:10:00Z</dcterms:created>
  <dcterms:modified xsi:type="dcterms:W3CDTF">2021-04-16T09:08:00Z</dcterms:modified>
</cp:coreProperties>
</file>